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4B" w:rsidRPr="00C8474B" w:rsidRDefault="0092795B" w:rsidP="00C8474B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92795B">
        <w:rPr>
          <w:rFonts w:ascii="新細明體" w:eastAsia="新細明體" w:hAnsi="新細明體" w:cs="新細明體" w:hint="eastAsia"/>
          <w:b/>
          <w:bCs/>
          <w:color w:val="900300"/>
          <w:kern w:val="0"/>
          <w:sz w:val="27"/>
          <w:szCs w:val="27"/>
        </w:rPr>
        <w:t>102-</w:t>
      </w:r>
      <w:r>
        <w:rPr>
          <w:rFonts w:ascii="新細明體" w:eastAsia="新細明體" w:hAnsi="新細明體" w:cs="新細明體" w:hint="eastAsia"/>
          <w:b/>
          <w:bCs/>
          <w:color w:val="900300"/>
          <w:kern w:val="0"/>
          <w:sz w:val="27"/>
          <w:szCs w:val="27"/>
        </w:rPr>
        <w:t>3</w:t>
      </w:r>
      <w:r w:rsidRPr="0092795B">
        <w:rPr>
          <w:rFonts w:ascii="新細明體" w:eastAsia="新細明體" w:hAnsi="新細明體" w:cs="新細明體" w:hint="eastAsia"/>
          <w:b/>
          <w:bCs/>
          <w:color w:val="900300"/>
          <w:kern w:val="0"/>
          <w:sz w:val="27"/>
          <w:szCs w:val="27"/>
        </w:rPr>
        <w:t>高雄市立空中大學</w:t>
      </w:r>
      <w:r>
        <w:rPr>
          <w:rFonts w:ascii="新細明體" w:eastAsia="新細明體" w:hAnsi="新細明體" w:cs="新細明體" w:hint="eastAsia"/>
          <w:b/>
          <w:bCs/>
          <w:color w:val="900300"/>
          <w:kern w:val="0"/>
          <w:sz w:val="27"/>
          <w:szCs w:val="27"/>
        </w:rPr>
        <w:t>法政系</w:t>
      </w:r>
      <w:r w:rsidRPr="0092795B">
        <w:rPr>
          <w:rFonts w:ascii="新細明體" w:eastAsia="新細明體" w:hAnsi="新細明體" w:cs="新細明體" w:hint="eastAsia"/>
          <w:b/>
          <w:bCs/>
          <w:color w:val="900300"/>
          <w:kern w:val="0"/>
          <w:sz w:val="27"/>
          <w:szCs w:val="27"/>
        </w:rPr>
        <w:t>交通實務</w:t>
      </w:r>
      <w:r w:rsidR="00C8474B" w:rsidRPr="00C8474B">
        <w:rPr>
          <w:rFonts w:ascii="新細明體" w:eastAsia="新細明體" w:hAnsi="新細明體" w:cs="新細明體"/>
          <w:b/>
          <w:bCs/>
          <w:color w:val="900300"/>
          <w:kern w:val="0"/>
          <w:sz w:val="27"/>
          <w:szCs w:val="27"/>
        </w:rPr>
        <w:t>授課計劃表</w:t>
      </w:r>
    </w:p>
    <w:tbl>
      <w:tblPr>
        <w:tblW w:w="5000" w:type="pct"/>
        <w:tblCellSpacing w:w="15" w:type="dxa"/>
        <w:tblBorders>
          <w:top w:val="outset" w:sz="6" w:space="0" w:color="610000"/>
          <w:left w:val="outset" w:sz="6" w:space="0" w:color="610000"/>
          <w:bottom w:val="outset" w:sz="6" w:space="0" w:color="610000"/>
          <w:right w:val="outset" w:sz="6" w:space="0" w:color="610000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91"/>
        <w:gridCol w:w="1077"/>
        <w:gridCol w:w="1600"/>
        <w:gridCol w:w="1600"/>
        <w:gridCol w:w="2123"/>
        <w:gridCol w:w="1600"/>
        <w:gridCol w:w="553"/>
        <w:gridCol w:w="1092"/>
      </w:tblGrid>
      <w:tr w:rsidR="00C8474B" w:rsidRPr="00C8474B" w:rsidTr="00C8474B">
        <w:trPr>
          <w:tblCellSpacing w:w="15" w:type="dxa"/>
        </w:trPr>
        <w:tc>
          <w:tcPr>
            <w:tcW w:w="500" w:type="pct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900300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t>學年</w:t>
            </w:r>
          </w:p>
        </w:tc>
        <w:tc>
          <w:tcPr>
            <w:tcW w:w="500" w:type="pct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900300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t>學期</w:t>
            </w:r>
          </w:p>
        </w:tc>
        <w:tc>
          <w:tcPr>
            <w:tcW w:w="750" w:type="pct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900300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t>開課班級</w:t>
            </w:r>
          </w:p>
        </w:tc>
        <w:tc>
          <w:tcPr>
            <w:tcW w:w="750" w:type="pct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900300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t>課程代號</w:t>
            </w:r>
          </w:p>
        </w:tc>
        <w:tc>
          <w:tcPr>
            <w:tcW w:w="1000" w:type="pct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900300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750" w:type="pct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900300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t>選修別</w:t>
            </w:r>
          </w:p>
        </w:tc>
        <w:tc>
          <w:tcPr>
            <w:tcW w:w="250" w:type="pct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900300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500" w:type="pct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900300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t>授課教師</w:t>
            </w:r>
          </w:p>
        </w:tc>
      </w:tr>
      <w:tr w:rsidR="00C8474B" w:rsidRPr="00C8474B" w:rsidTr="0092795B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vAlign w:val="center"/>
            <w:hideMark/>
          </w:tcPr>
          <w:p w:rsidR="00C8474B" w:rsidRPr="00C8474B" w:rsidRDefault="00665383" w:rsidP="0092795B">
            <w:pPr>
              <w:widowControl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10</w:t>
            </w:r>
            <w:r w:rsidR="0092795B">
              <w:rPr>
                <w:rFonts w:ascii="新細明體" w:eastAsia="新細明體" w:hAnsi="新細明體" w:cs="新細明體" w:hint="eastAsia"/>
                <w:color w:val="0000FF"/>
                <w:kern w:val="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vAlign w:val="center"/>
            <w:hideMark/>
          </w:tcPr>
          <w:p w:rsidR="00C8474B" w:rsidRPr="00C8474B" w:rsidRDefault="0092795B" w:rsidP="00C8474B">
            <w:pPr>
              <w:widowControl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vAlign w:val="center"/>
            <w:hideMark/>
          </w:tcPr>
          <w:p w:rsidR="00C8474B" w:rsidRPr="00C8474B" w:rsidRDefault="0092795B" w:rsidP="00C8474B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</w:pPr>
            <w:r w:rsidRPr="0092795B">
              <w:rPr>
                <w:rFonts w:ascii="新細明體" w:eastAsia="新細明體" w:hAnsi="新細明體" w:cs="新細明體" w:hint="eastAsia"/>
                <w:color w:val="0000FF"/>
                <w:kern w:val="0"/>
                <w:sz w:val="20"/>
                <w:szCs w:val="20"/>
              </w:rPr>
              <w:t>市立空中大學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vAlign w:val="center"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vAlign w:val="center"/>
            <w:hideMark/>
          </w:tcPr>
          <w:p w:rsidR="00C8474B" w:rsidRPr="00C8474B" w:rsidRDefault="00665383" w:rsidP="00C8474B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 w:val="20"/>
                <w:szCs w:val="20"/>
              </w:rPr>
              <w:t>交通實務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vAlign w:val="center"/>
            <w:hideMark/>
          </w:tcPr>
          <w:p w:rsidR="00C8474B" w:rsidRPr="00C8474B" w:rsidRDefault="00665383" w:rsidP="00C8474B">
            <w:pPr>
              <w:widowControl/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 w:val="20"/>
                <w:szCs w:val="20"/>
              </w:rPr>
              <w:t>潘重榮</w:t>
            </w:r>
          </w:p>
        </w:tc>
      </w:tr>
      <w:tr w:rsidR="00C8474B" w:rsidRPr="00C8474B" w:rsidTr="00C8474B">
        <w:trPr>
          <w:tblCellSpacing w:w="15" w:type="dxa"/>
        </w:trPr>
        <w:tc>
          <w:tcPr>
            <w:tcW w:w="500" w:type="pct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900300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t>課程描述</w:t>
            </w:r>
          </w:p>
        </w:tc>
        <w:tc>
          <w:tcPr>
            <w:tcW w:w="500" w:type="pct"/>
            <w:gridSpan w:val="7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vAlign w:val="center"/>
            <w:hideMark/>
          </w:tcPr>
          <w:p w:rsidR="00C8474B" w:rsidRPr="00C8474B" w:rsidRDefault="00665383" w:rsidP="00665383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FF"/>
                <w:kern w:val="0"/>
                <w:sz w:val="20"/>
                <w:szCs w:val="20"/>
              </w:rPr>
              <w:t>講授行車必要遵守的道路交通安全規則，在現今面臨交通安全的挑戰，學習如何做好安全及防衛駕駛，進而保障個人生命、身體與財產安全。</w:t>
            </w:r>
          </w:p>
        </w:tc>
      </w:tr>
      <w:tr w:rsidR="00C8474B" w:rsidRPr="00C8474B" w:rsidTr="00C8474B">
        <w:trPr>
          <w:tblCellSpacing w:w="15" w:type="dxa"/>
        </w:trPr>
        <w:tc>
          <w:tcPr>
            <w:tcW w:w="500" w:type="pct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900300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t>修課條件</w:t>
            </w:r>
          </w:p>
        </w:tc>
        <w:tc>
          <w:tcPr>
            <w:tcW w:w="500" w:type="pct"/>
            <w:gridSpan w:val="7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 xml:space="preserve">無 </w:t>
            </w:r>
          </w:p>
        </w:tc>
      </w:tr>
    </w:tbl>
    <w:p w:rsidR="00C8474B" w:rsidRPr="00C8474B" w:rsidRDefault="00C8474B" w:rsidP="00C8474B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610000"/>
          <w:left w:val="outset" w:sz="6" w:space="0" w:color="610000"/>
          <w:bottom w:val="outset" w:sz="6" w:space="0" w:color="610000"/>
          <w:right w:val="outset" w:sz="6" w:space="0" w:color="610000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68"/>
        <w:gridCol w:w="8538"/>
      </w:tblGrid>
      <w:tr w:rsidR="00C8474B" w:rsidRPr="00C8474B" w:rsidTr="00C8474B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00300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達成指標與課程學習目標之關聯</w:t>
            </w:r>
          </w:p>
        </w:tc>
      </w:tr>
      <w:tr w:rsidR="00C8474B" w:rsidRPr="00C8474B" w:rsidTr="00C8474B">
        <w:trPr>
          <w:tblCellSpacing w:w="15" w:type="dxa"/>
        </w:trPr>
        <w:tc>
          <w:tcPr>
            <w:tcW w:w="1000" w:type="pct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900300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t>能力/素養達成指標</w:t>
            </w:r>
          </w:p>
        </w:tc>
        <w:tc>
          <w:tcPr>
            <w:tcW w:w="4000" w:type="pct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課程學習目標(中) </w:t>
            </w:r>
          </w:p>
        </w:tc>
      </w:tr>
      <w:tr w:rsidR="00C8474B" w:rsidRPr="00C8474B" w:rsidTr="00C8474B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CSI1-1</w:t>
            </w: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br/>
              <w:t xml:space="preserve">運用專業知識、技能的能力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  <w:hideMark/>
          </w:tcPr>
          <w:p w:rsidR="00C8474B" w:rsidRPr="00C8474B" w:rsidRDefault="00665383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根據肇事事實、證據、跡證、相關交通法令規定…等，針對肇事之背景、經過及因素加以分析、研判，作為日後法律訴訟的一項技術性專業能力。</w:t>
            </w:r>
          </w:p>
        </w:tc>
      </w:tr>
      <w:tr w:rsidR="00C8474B" w:rsidRPr="00C8474B" w:rsidTr="00C8474B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CSI3-1</w:t>
            </w: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br/>
              <w:t xml:space="preserve">發展開放思考、資源整合、問題解決的能力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  <w:hideMark/>
          </w:tcPr>
          <w:p w:rsidR="00C8474B" w:rsidRPr="00C8474B" w:rsidRDefault="00665383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學習從各類事故個案中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研判肇責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</w:p>
        </w:tc>
      </w:tr>
      <w:tr w:rsidR="00C8474B" w:rsidRPr="00C8474B" w:rsidTr="00C8474B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CSI5-1</w:t>
            </w: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br/>
              <w:t xml:space="preserve">發展倫理情操、敬業、環保與關懷社會的素養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  <w:hideMark/>
          </w:tcPr>
          <w:p w:rsidR="00C8474B" w:rsidRPr="00C8474B" w:rsidRDefault="005D053A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關懷社會重大交通事故及交通法令之修訂。</w:t>
            </w:r>
          </w:p>
        </w:tc>
      </w:tr>
      <w:tr w:rsidR="00C8474B" w:rsidRPr="00C8474B" w:rsidTr="00C8474B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CSI6-1</w:t>
            </w: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br/>
              <w:t xml:space="preserve">發展生涯規劃、合作、溝通與自我行銷的素養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  <w:hideMark/>
          </w:tcPr>
          <w:p w:rsidR="00C8474B" w:rsidRPr="00C8474B" w:rsidRDefault="005D053A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運用肇事原因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分析肇責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，協助用路人解決法律途徑。</w:t>
            </w:r>
          </w:p>
        </w:tc>
      </w:tr>
      <w:tr w:rsidR="00C8474B" w:rsidRPr="00C8474B" w:rsidTr="00C8474B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CSI7-1</w:t>
            </w: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br/>
              <w:t xml:space="preserve">發展包容多元文化、法治、永續學習的素養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  <w:hideMark/>
          </w:tcPr>
          <w:p w:rsidR="00C8474B" w:rsidRPr="00C8474B" w:rsidRDefault="00C8474B" w:rsidP="005D053A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Cs w:val="24"/>
              </w:rPr>
              <w:t>運用</w:t>
            </w:r>
            <w:r w:rsidR="005D053A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交通專業知識豐富人生觀。</w:t>
            </w:r>
            <w:r w:rsidRPr="00C8474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</w:tbl>
    <w:p w:rsidR="00C8474B" w:rsidRPr="00C8474B" w:rsidRDefault="00C8474B" w:rsidP="00C8474B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610000"/>
          <w:left w:val="outset" w:sz="6" w:space="0" w:color="610000"/>
          <w:bottom w:val="outset" w:sz="6" w:space="0" w:color="610000"/>
          <w:right w:val="outset" w:sz="6" w:space="0" w:color="610000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836"/>
        <w:gridCol w:w="1822"/>
        <w:gridCol w:w="1150"/>
        <w:gridCol w:w="2718"/>
        <w:gridCol w:w="3180"/>
      </w:tblGrid>
      <w:tr w:rsidR="00C8474B" w:rsidRPr="00C8474B" w:rsidTr="00C8474B">
        <w:trPr>
          <w:tblCellSpacing w:w="1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00300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  <w:t>學習設計</w:t>
            </w:r>
          </w:p>
        </w:tc>
      </w:tr>
      <w:tr w:rsidR="00C8474B" w:rsidRPr="00C8474B" w:rsidTr="00C8474B">
        <w:trPr>
          <w:tblCellSpacing w:w="15" w:type="dxa"/>
        </w:trPr>
        <w:tc>
          <w:tcPr>
            <w:tcW w:w="400" w:type="pct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900300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t>能力/素養</w:t>
            </w:r>
            <w:r w:rsidRPr="00C8474B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br/>
              <w:t>(學習成果)</w:t>
            </w:r>
          </w:p>
        </w:tc>
        <w:tc>
          <w:tcPr>
            <w:tcW w:w="400" w:type="pct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900300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t>學習目標維護</w:t>
            </w:r>
            <w:r w:rsidRPr="00C8474B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br/>
              <w:t>(達成指標)</w:t>
            </w:r>
          </w:p>
        </w:tc>
        <w:tc>
          <w:tcPr>
            <w:tcW w:w="250" w:type="pct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900300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t>權重</w:t>
            </w:r>
          </w:p>
        </w:tc>
        <w:tc>
          <w:tcPr>
            <w:tcW w:w="600" w:type="pct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學習認知層次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＊</w:t>
            </w:r>
            <w:proofErr w:type="gramEnd"/>
          </w:p>
        </w:tc>
        <w:tc>
          <w:tcPr>
            <w:tcW w:w="700" w:type="pct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教學方式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＊</w:t>
            </w:r>
            <w:proofErr w:type="gramEnd"/>
          </w:p>
        </w:tc>
      </w:tr>
      <w:tr w:rsidR="00C8474B" w:rsidRPr="00C8474B" w:rsidTr="00C8474B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lastRenderedPageBreak/>
              <w:t>C1</w:t>
            </w: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br/>
              <w:t xml:space="preserve">專業知能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CSI1-1</w:t>
            </w: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br/>
              <w:t xml:space="preserve">運用專業知識、技能的能力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474B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1.知識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課堂授課</w:t>
            </w:r>
          </w:p>
        </w:tc>
      </w:tr>
      <w:tr w:rsidR="00C8474B" w:rsidRPr="00C8474B" w:rsidTr="00C8474B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C3</w:t>
            </w: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br/>
              <w:t xml:space="preserve">創新整合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CSI3-1</w:t>
            </w: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br/>
              <w:t xml:space="preserve">發展開放思考、資源整合、問題解決的能力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474B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1.知識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課堂授課</w:t>
            </w:r>
          </w:p>
        </w:tc>
      </w:tr>
      <w:tr w:rsidR="00C8474B" w:rsidRPr="00C8474B" w:rsidTr="00C8474B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C5</w:t>
            </w: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br/>
              <w:t xml:space="preserve">倫理道德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CSI5-1</w:t>
            </w: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br/>
              <w:t xml:space="preserve">發展倫理情操、敬業、環保與關懷社會的素養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474B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1.知識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課堂授課</w:t>
            </w:r>
          </w:p>
        </w:tc>
      </w:tr>
      <w:tr w:rsidR="00C8474B" w:rsidRPr="00C8474B" w:rsidTr="00C8474B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C6</w:t>
            </w: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br/>
              <w:t xml:space="preserve">社會知能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CSI6-1</w:t>
            </w: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br/>
              <w:t xml:space="preserve">發展生涯規劃、合作、溝通與自我行銷的素養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474B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1.知識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課堂授課</w:t>
            </w:r>
          </w:p>
        </w:tc>
      </w:tr>
      <w:tr w:rsidR="00C8474B" w:rsidRPr="00C8474B" w:rsidTr="00C8474B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C7</w:t>
            </w: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br/>
              <w:t xml:space="preserve">生活態度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CSI7-1</w:t>
            </w: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br/>
              <w:t xml:space="preserve">發展包容多元文化、法治、永續學習的素養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474B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1.知識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課堂授課</w:t>
            </w:r>
          </w:p>
        </w:tc>
      </w:tr>
      <w:tr w:rsidR="00C8474B" w:rsidRPr="00C8474B" w:rsidTr="00C8474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學習評量項目總計 </w:t>
            </w:r>
          </w:p>
        </w:tc>
        <w:tc>
          <w:tcPr>
            <w:tcW w:w="0" w:type="auto"/>
            <w:gridSpan w:val="2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470"/>
              <w:gridCol w:w="1410"/>
              <w:gridCol w:w="471"/>
              <w:gridCol w:w="1411"/>
              <w:gridCol w:w="471"/>
            </w:tblGrid>
            <w:tr w:rsidR="00C8474B" w:rsidRPr="00C8474B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C8474B" w:rsidRPr="00C8474B" w:rsidRDefault="00C8474B" w:rsidP="00C8474B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8474B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期中(1)：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C8474B" w:rsidRPr="00C8474B" w:rsidRDefault="00C8474B" w:rsidP="00C8474B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8474B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30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C8474B" w:rsidRPr="00C8474B" w:rsidRDefault="00C8474B" w:rsidP="00C8474B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8474B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期末(1)：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C8474B" w:rsidRPr="00C8474B" w:rsidRDefault="00C8474B" w:rsidP="00C8474B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8474B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30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C8474B" w:rsidRPr="00C8474B" w:rsidRDefault="00C8474B" w:rsidP="00C8474B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8474B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學習態度：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C8474B" w:rsidRPr="00C8474B" w:rsidRDefault="00C8474B" w:rsidP="00C8474B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8474B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40</w:t>
                  </w:r>
                </w:p>
              </w:tc>
            </w:tr>
          </w:tbl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C8474B" w:rsidRPr="00C8474B" w:rsidRDefault="00C8474B" w:rsidP="00C8474B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610000"/>
          <w:left w:val="outset" w:sz="6" w:space="0" w:color="610000"/>
          <w:bottom w:val="outset" w:sz="6" w:space="0" w:color="610000"/>
          <w:right w:val="outset" w:sz="6" w:space="0" w:color="610000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4"/>
        <w:gridCol w:w="8194"/>
        <w:gridCol w:w="254"/>
        <w:gridCol w:w="254"/>
        <w:gridCol w:w="254"/>
        <w:gridCol w:w="254"/>
        <w:gridCol w:w="254"/>
        <w:gridCol w:w="288"/>
      </w:tblGrid>
      <w:tr w:rsidR="00C8474B" w:rsidRPr="00C8474B" w:rsidTr="00C8474B">
        <w:trPr>
          <w:tblCellSpacing w:w="15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474B"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  <w:t>授課進度與大綱：</w:t>
            </w:r>
            <w:r w:rsidRPr="00C8474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C8474B" w:rsidRPr="00C8474B" w:rsidTr="00C8474B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8474B" w:rsidRPr="00C8474B" w:rsidTr="005D053A">
        <w:trPr>
          <w:tblCellSpacing w:w="15" w:type="dxa"/>
        </w:trPr>
        <w:tc>
          <w:tcPr>
            <w:tcW w:w="435" w:type="pct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900300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proofErr w:type="gramStart"/>
            <w:r w:rsidRPr="00C8474B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t>週</w:t>
            </w:r>
            <w:proofErr w:type="gramEnd"/>
            <w:r w:rsidRPr="00C8474B">
              <w:rPr>
                <w:rFonts w:ascii="新細明體" w:eastAsia="新細明體" w:hAnsi="新細明體" w:cs="新細明體"/>
                <w:color w:val="FFFFFF"/>
                <w:kern w:val="0"/>
                <w:sz w:val="20"/>
                <w:szCs w:val="20"/>
              </w:rPr>
              <w:t>次</w:t>
            </w:r>
          </w:p>
        </w:tc>
        <w:tc>
          <w:tcPr>
            <w:tcW w:w="3911" w:type="pct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授課進度與大綱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8474B" w:rsidRPr="00C8474B" w:rsidTr="005D053A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第一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週</w:t>
            </w:r>
            <w:proofErr w:type="gramEnd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</w:tcPr>
          <w:p w:rsidR="00C8474B" w:rsidRPr="00C8474B" w:rsidRDefault="005D053A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瞭解肇事原因：係指與交通事故之發生有客觀上相當因果關係之原因行為或事實。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8474B" w:rsidRPr="00C8474B" w:rsidTr="005D053A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第二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週</w:t>
            </w:r>
            <w:proofErr w:type="gramEnd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</w:tcPr>
          <w:p w:rsidR="00C8474B" w:rsidRPr="00C8474B" w:rsidRDefault="005D053A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違規行為不等於犯罪</w:t>
            </w:r>
            <w:r w:rsidR="002B1AD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構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成事實，犯罪構成事實不等於犯罪構成要件，犯罪構成要件仍應經由刑罰法規之解釋並賦予法律之評價而為取捨。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8474B" w:rsidRPr="00C8474B" w:rsidTr="005D053A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第三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週</w:t>
            </w:r>
            <w:proofErr w:type="gramEnd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</w:tcPr>
          <w:p w:rsidR="00C8474B" w:rsidRPr="00C8474B" w:rsidRDefault="002B1AD4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汽車行駛至交岔路口，其行進、轉彎，應遵守那些規定？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8474B" w:rsidRPr="00C8474B" w:rsidTr="005D053A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第四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週</w:t>
            </w:r>
            <w:proofErr w:type="gramEnd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</w:tcPr>
          <w:p w:rsidR="00C8474B" w:rsidRPr="00C8474B" w:rsidRDefault="002B1AD4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汽車行駛至無號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誌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或號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誌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故障而無交通指揮人員指揮之交岔路口，應依那些規定讓車？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8474B" w:rsidRPr="00C8474B" w:rsidTr="005D053A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第五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週</w:t>
            </w:r>
            <w:proofErr w:type="gramEnd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</w:tcPr>
          <w:p w:rsidR="00C8474B" w:rsidRPr="00C8474B" w:rsidRDefault="002B1AD4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汽車行近未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設行車管制號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誌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之行人穿越道前應依那些規定禮讓？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8474B" w:rsidRPr="00C8474B" w:rsidTr="005D053A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第六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週</w:t>
            </w:r>
            <w:proofErr w:type="gramEnd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</w:tcPr>
          <w:p w:rsidR="00C8474B" w:rsidRPr="00C8474B" w:rsidRDefault="002B1AD4" w:rsidP="002B1AD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機車行駛至交岔路口，其轉彎應依標誌或標線之規定行駛；如~內側車道設有禁行機車標誌</w:t>
            </w:r>
            <w:r w:rsidR="009A28C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或標線者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="009A28C3">
              <w:rPr>
                <w:rFonts w:ascii="新細明體" w:eastAsia="新細明體" w:hAnsi="新細明體" w:cs="新細明體" w:hint="eastAsia"/>
                <w:kern w:val="0"/>
                <w:szCs w:val="24"/>
              </w:rPr>
              <w:t>應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依兩段式進行左轉…等。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8474B" w:rsidRPr="00C8474B" w:rsidTr="005D053A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lastRenderedPageBreak/>
              <w:t>第七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週</w:t>
            </w:r>
            <w:proofErr w:type="gramEnd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</w:tcPr>
          <w:p w:rsidR="00C8474B" w:rsidRPr="00C8474B" w:rsidRDefault="009A28C3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汽車在單行道行駛時，應在快車道上按遵行方向順序行駛，劃有路面邊線者，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除起駛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、準備停車或臨時停車外，不得駛出路面邊緣。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8474B" w:rsidRPr="00C8474B" w:rsidTr="005D053A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C8474B" w:rsidRPr="00C8474B" w:rsidRDefault="00C8474B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第八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週</w:t>
            </w:r>
            <w:proofErr w:type="gramEnd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</w:tcPr>
          <w:p w:rsidR="00C8474B" w:rsidRPr="00C8474B" w:rsidRDefault="009A28C3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汽車超車、變換車道與交會時，應遵守那些規定？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8474B" w:rsidRPr="00C8474B" w:rsidRDefault="00C8474B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053A" w:rsidRPr="00C8474B" w:rsidTr="005D053A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5D053A" w:rsidRPr="00C8474B" w:rsidRDefault="005D053A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第九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週</w:t>
            </w:r>
            <w:proofErr w:type="gramEnd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</w:tcPr>
          <w:p w:rsidR="005D053A" w:rsidRPr="00C8474B" w:rsidRDefault="005D053A" w:rsidP="00301173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474B">
              <w:rPr>
                <w:rFonts w:ascii="新細明體" w:eastAsia="新細明體" w:hAnsi="新細明體" w:cs="新細明體"/>
                <w:color w:val="000080"/>
                <w:kern w:val="0"/>
                <w:szCs w:val="24"/>
                <w:shd w:val="clear" w:color="auto" w:fill="F5EBFF"/>
              </w:rPr>
              <w:t>期中考</w:t>
            </w:r>
            <w:r w:rsidRPr="00C8474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053A" w:rsidRPr="00C8474B" w:rsidTr="005D053A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5D053A" w:rsidRPr="00C8474B" w:rsidRDefault="005D053A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第十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週</w:t>
            </w:r>
            <w:proofErr w:type="gramEnd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</w:tcPr>
          <w:p w:rsidR="005D053A" w:rsidRPr="00C8474B" w:rsidRDefault="009A28C3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酒後駕車的相關法令處罰規定（一）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053A" w:rsidRPr="00C8474B" w:rsidTr="005D053A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5D053A" w:rsidRPr="00C8474B" w:rsidRDefault="005D053A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第十一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週</w:t>
            </w:r>
            <w:proofErr w:type="gramEnd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</w:tcPr>
          <w:p w:rsidR="005D053A" w:rsidRPr="00C8474B" w:rsidRDefault="009A28C3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酒後駕車的相關法令處罰規定（二）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053A" w:rsidRPr="00C8474B" w:rsidTr="005D053A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5D053A" w:rsidRPr="00C8474B" w:rsidRDefault="005D053A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第十二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週</w:t>
            </w:r>
            <w:proofErr w:type="gramEnd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</w:tcPr>
          <w:p w:rsidR="005D053A" w:rsidRPr="00C8474B" w:rsidRDefault="009A28C3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高速公路最典型之肇事案件~汽車在同一車道行駛時，除擬超越前車外，後車與前車之間應保持隨時可以煞停之距離。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053A" w:rsidRPr="00C8474B" w:rsidTr="005D053A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5D053A" w:rsidRPr="00C8474B" w:rsidRDefault="005D053A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第十三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週</w:t>
            </w:r>
            <w:proofErr w:type="gramEnd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</w:tcPr>
          <w:p w:rsidR="005D053A" w:rsidRPr="00C8474B" w:rsidRDefault="009A28C3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汽車停車與臨時停車之相關規定。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053A" w:rsidRPr="00C8474B" w:rsidTr="005D053A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5D053A" w:rsidRPr="00C8474B" w:rsidRDefault="005D053A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第十四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週</w:t>
            </w:r>
            <w:proofErr w:type="gramEnd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</w:tcPr>
          <w:p w:rsidR="005D053A" w:rsidRPr="00C8474B" w:rsidRDefault="009A28C3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連續駕車超過八小時及患病影響安全駕駛之規定。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053A" w:rsidRPr="00C8474B" w:rsidTr="005D053A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5D053A" w:rsidRPr="00C8474B" w:rsidRDefault="005D053A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第十五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週</w:t>
            </w:r>
            <w:proofErr w:type="gramEnd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</w:tcPr>
          <w:p w:rsidR="005D053A" w:rsidRPr="00C8474B" w:rsidRDefault="0061290D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行人穿越道路之相關規定。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053A" w:rsidRPr="00C8474B" w:rsidTr="005D053A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5D053A" w:rsidRPr="00C8474B" w:rsidRDefault="005D053A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第十六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週</w:t>
            </w:r>
            <w:proofErr w:type="gramEnd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</w:tcPr>
          <w:p w:rsidR="005D053A" w:rsidRPr="00C8474B" w:rsidRDefault="0061290D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汽車起駛與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迴車之相關規定。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053A" w:rsidRPr="00C8474B" w:rsidTr="005D053A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5D053A" w:rsidRPr="00C8474B" w:rsidRDefault="005D053A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第十七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週</w:t>
            </w:r>
            <w:proofErr w:type="gramEnd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</w:tcPr>
          <w:p w:rsidR="005D053A" w:rsidRPr="00C8474B" w:rsidRDefault="0061290D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汽車開啟車門與倒車之相關規定。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053A" w:rsidRPr="00C8474B" w:rsidTr="00C8474B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5D053A" w:rsidRPr="00C8474B" w:rsidRDefault="005D053A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第十八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週</w:t>
            </w:r>
            <w:proofErr w:type="gramEnd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474B">
              <w:rPr>
                <w:rFonts w:ascii="新細明體" w:eastAsia="新細明體" w:hAnsi="新細明體" w:cs="新細明體"/>
                <w:color w:val="000080"/>
                <w:kern w:val="0"/>
                <w:szCs w:val="24"/>
                <w:shd w:val="clear" w:color="auto" w:fill="F5EBFF"/>
              </w:rPr>
              <w:t>期末考</w:t>
            </w:r>
            <w:r w:rsidRPr="00C8474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  <w:p w:rsidR="005D053A" w:rsidRPr="00C8474B" w:rsidRDefault="005D053A" w:rsidP="00C8474B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Cs w:val="24"/>
                <w:shd w:val="clear" w:color="auto" w:fill="FFFF00"/>
              </w:rPr>
            </w:pPr>
            <w:r w:rsidRPr="00C8474B">
              <w:rPr>
                <w:rFonts w:ascii="新細明體" w:eastAsia="新細明體" w:hAnsi="新細明體" w:cs="新細明體"/>
                <w:color w:val="FF0000"/>
                <w:kern w:val="0"/>
                <w:szCs w:val="24"/>
                <w:shd w:val="clear" w:color="auto" w:fill="FFFF00"/>
              </w:rPr>
              <w:t>教師得依學生學習狀況調整授課進度&lt;/SPAN&lt; font&gt;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053A" w:rsidRPr="00C8474B" w:rsidTr="00C8474B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5D053A" w:rsidRPr="00C8474B" w:rsidRDefault="005D053A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 xml:space="preserve">參考書籍、教材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9.75pt;height:60.75pt" o:ole="">
                  <v:imagedata r:id="rId7" o:title=""/>
                </v:shape>
                <w:control r:id="rId8" w:name="物件 10" w:shapeid="_x0000_i1026"/>
              </w:object>
            </w: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Cs w:val="24"/>
              </w:rPr>
              <w:t>(遵守智慧財產權，禁止非法影印。）</w:t>
            </w:r>
            <w:r w:rsidRPr="00C8474B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053A" w:rsidRPr="00C8474B" w:rsidTr="00C8474B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5D053A" w:rsidRPr="00C8474B" w:rsidRDefault="005D053A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課程要求</w:t>
            </w:r>
            <w:proofErr w:type="gramStart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（</w:t>
            </w:r>
            <w:proofErr w:type="gramEnd"/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t>學生於學期間應達成之學習成就、作</w:t>
            </w: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lastRenderedPageBreak/>
              <w:t xml:space="preserve">業、考試等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object w:dxaOrig="225" w:dyaOrig="225">
                <v:shape id="_x0000_i1028" type="#_x0000_t75" style="width:159.75pt;height:60.75pt" o:ole="">
                  <v:imagedata r:id="rId9" o:title=""/>
                </v:shape>
                <w:control r:id="rId10" w:name="物件 11" w:shapeid="_x0000_i102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D053A" w:rsidRPr="00C8474B" w:rsidTr="00C8474B">
        <w:trPr>
          <w:tblCellSpacing w:w="15" w:type="dxa"/>
        </w:trPr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D4F8D4"/>
            <w:hideMark/>
          </w:tcPr>
          <w:p w:rsidR="005D053A" w:rsidRPr="00C8474B" w:rsidRDefault="005D053A" w:rsidP="00C8474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8474B">
              <w:rPr>
                <w:rFonts w:ascii="新細明體" w:eastAsia="新細明體" w:hAnsi="新細明體" w:cs="新細明體"/>
                <w:color w:val="0000FF"/>
                <w:kern w:val="0"/>
                <w:sz w:val="20"/>
                <w:szCs w:val="20"/>
              </w:rPr>
              <w:lastRenderedPageBreak/>
              <w:t xml:space="preserve">備註 </w:t>
            </w:r>
          </w:p>
        </w:tc>
        <w:tc>
          <w:tcPr>
            <w:tcW w:w="0" w:type="auto"/>
            <w:tcBorders>
              <w:top w:val="outset" w:sz="6" w:space="0" w:color="610000"/>
              <w:left w:val="outset" w:sz="6" w:space="0" w:color="610000"/>
              <w:bottom w:val="outset" w:sz="6" w:space="0" w:color="610000"/>
              <w:right w:val="outset" w:sz="6" w:space="0" w:color="610000"/>
            </w:tcBorders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8474B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030" type="#_x0000_t75" style="width:159.75pt;height:60.75pt" o:ole="">
                  <v:imagedata r:id="rId11" o:title=""/>
                </v:shape>
                <w:control r:id="rId12" w:name="物件 12" w:shapeid="_x0000_i103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053A" w:rsidRPr="00C8474B" w:rsidRDefault="005D053A" w:rsidP="00C8474B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B3905" w:rsidRPr="00C8474B" w:rsidRDefault="00FB3905" w:rsidP="00C8474B"/>
    <w:sectPr w:rsidR="00FB3905" w:rsidRPr="00C8474B" w:rsidSect="000D0E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53" w:rsidRDefault="00816E53" w:rsidP="00816E53">
      <w:r>
        <w:separator/>
      </w:r>
    </w:p>
  </w:endnote>
  <w:endnote w:type="continuationSeparator" w:id="0">
    <w:p w:rsidR="00816E53" w:rsidRDefault="00816E53" w:rsidP="0081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53" w:rsidRDefault="00816E53" w:rsidP="00816E53">
      <w:r>
        <w:separator/>
      </w:r>
    </w:p>
  </w:footnote>
  <w:footnote w:type="continuationSeparator" w:id="0">
    <w:p w:rsidR="00816E53" w:rsidRDefault="00816E53" w:rsidP="00816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FE"/>
    <w:rsid w:val="000D0EFE"/>
    <w:rsid w:val="002B1AD4"/>
    <w:rsid w:val="004F38CC"/>
    <w:rsid w:val="005D053A"/>
    <w:rsid w:val="0061290D"/>
    <w:rsid w:val="00665383"/>
    <w:rsid w:val="00675E12"/>
    <w:rsid w:val="00816E53"/>
    <w:rsid w:val="0092795B"/>
    <w:rsid w:val="009A28C3"/>
    <w:rsid w:val="00BA22B3"/>
    <w:rsid w:val="00C134CA"/>
    <w:rsid w:val="00C8474B"/>
    <w:rsid w:val="00DB67D1"/>
    <w:rsid w:val="00EB2115"/>
    <w:rsid w:val="00F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D0EF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D0EF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0D0E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16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6E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6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6E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0D0EF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D0EF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0D0E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16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6E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6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6E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陳期福</cp:lastModifiedBy>
  <cp:revision>2</cp:revision>
  <dcterms:created xsi:type="dcterms:W3CDTF">2014-03-21T00:55:00Z</dcterms:created>
  <dcterms:modified xsi:type="dcterms:W3CDTF">2014-03-21T00:55:00Z</dcterms:modified>
</cp:coreProperties>
</file>